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right="1064"/>
        <w:jc w:val="center"/>
        <w:rPr>
          <w:rFonts w:hint="default" w:asciiTheme="minorEastAsia" w:hAnsiTheme="minorEastAsia" w:eastAsiaTheme="minorEastAsia"/>
          <w:sz w:val="21"/>
        </w:rPr>
      </w:pPr>
      <w:r>
        <w:rPr>
          <w:rFonts w:hint="eastAsia" w:asciiTheme="minorEastAsia" w:hAnsiTheme="minorEastAsia" w:eastAsiaTheme="minorEastAsia"/>
        </w:rPr>
        <w:t>　　　</w:t>
      </w:r>
      <w:r>
        <w:rPr>
          <w:rFonts w:hint="eastAsia" w:asciiTheme="minorEastAsia" w:hAnsiTheme="minorEastAsia" w:eastAsiaTheme="minorEastAsia"/>
          <w:sz w:val="21"/>
        </w:rPr>
        <w:t>入</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札</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公</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告</w:t>
      </w:r>
      <w:r>
        <w:rPr>
          <w:rFonts w:hint="eastAsia" w:asciiTheme="minorEastAsia" w:hAnsiTheme="minorEastAsia" w:eastAsiaTheme="minorEastAsia"/>
          <w:sz w:val="21"/>
        </w:rPr>
        <w:t xml:space="preserve"> </w:t>
      </w:r>
    </w:p>
    <w:p>
      <w:pPr>
        <w:pStyle w:val="15"/>
        <w:spacing w:before="240" w:beforeLines="0" w:beforeAutospacing="0"/>
        <w:ind w:firstLine="236" w:firstLineChars="100"/>
        <w:rPr>
          <w:rFonts w:hint="default" w:asciiTheme="minorEastAsia" w:hAnsiTheme="minorEastAsia" w:eastAsiaTheme="minorEastAsia"/>
          <w:sz w:val="21"/>
        </w:rPr>
      </w:pPr>
      <w:r>
        <w:rPr>
          <w:rFonts w:hint="eastAsia" w:asciiTheme="minorEastAsia" w:hAnsiTheme="minorEastAsia" w:eastAsiaTheme="minorEastAsia"/>
          <w:sz w:val="21"/>
        </w:rPr>
        <w:t>条件付き一般競争入札を行うので、地方自治法施行令（昭和２２年政令第１６号）第１６７条の６の規定に基づき、公告する。</w:t>
      </w:r>
    </w:p>
    <w:p>
      <w:pPr>
        <w:pStyle w:val="15"/>
        <w:rPr>
          <w:rFonts w:hint="default" w:asciiTheme="minorEastAsia" w:hAnsiTheme="minorEastAsia" w:eastAsiaTheme="minorEastAsia"/>
          <w:sz w:val="21"/>
        </w:rPr>
      </w:pPr>
    </w:p>
    <w:p>
      <w:pPr>
        <w:pStyle w:val="15"/>
        <w:rPr>
          <w:rFonts w:hint="default" w:asciiTheme="minorEastAsia" w:hAnsiTheme="minorEastAsia" w:eastAsiaTheme="minorEastAsia"/>
          <w:sz w:val="21"/>
        </w:rPr>
      </w:pPr>
      <w:r>
        <w:rPr>
          <w:rFonts w:hint="eastAsia" w:asciiTheme="minorEastAsia" w:hAnsiTheme="minorEastAsia" w:eastAsiaTheme="minorEastAsia"/>
          <w:sz w:val="21"/>
        </w:rPr>
        <w:t>　令和８年（２０２６年）月日</w:t>
      </w:r>
    </w:p>
    <w:p>
      <w:pPr>
        <w:pStyle w:val="15"/>
        <w:rPr>
          <w:rFonts w:hint="default" w:asciiTheme="minorEastAsia" w:hAnsiTheme="minorEastAsia" w:eastAsiaTheme="minorEastAsia"/>
          <w:sz w:val="21"/>
        </w:rPr>
      </w:pPr>
    </w:p>
    <w:p>
      <w:pPr>
        <w:pStyle w:val="15"/>
        <w:wordWrap w:val="0"/>
        <w:jc w:val="right"/>
        <w:rPr>
          <w:rFonts w:hint="default" w:asciiTheme="minorEastAsia" w:hAnsiTheme="minorEastAsia" w:eastAsiaTheme="minorEastAsia"/>
          <w:sz w:val="21"/>
        </w:rPr>
      </w:pPr>
      <w:r>
        <w:rPr>
          <w:rFonts w:hint="eastAsia" w:asciiTheme="minorEastAsia" w:hAnsiTheme="minorEastAsia" w:eastAsiaTheme="minorEastAsia"/>
          <w:sz w:val="21"/>
        </w:rPr>
        <w:t>下関市長　前田　晋太郎　</w:t>
      </w:r>
    </w:p>
    <w:p>
      <w:pPr>
        <w:pStyle w:val="15"/>
        <w:ind w:firstLine="3780" w:firstLineChars="1600"/>
        <w:rPr>
          <w:rFonts w:hint="default" w:asciiTheme="minorEastAsia" w:hAnsiTheme="minorEastAsia" w:eastAsiaTheme="minorEastAsia"/>
          <w:sz w:val="21"/>
        </w:rPr>
      </w:pPr>
      <w:r>
        <w:rPr>
          <w:rFonts w:hint="default" w:asciiTheme="minorEastAsia" w:hAnsiTheme="minorEastAsia" w:eastAsiaTheme="minorEastAsia"/>
          <w:sz w:val="21"/>
        </w:rPr>
        <w:t xml:space="preserve"> </w:t>
      </w:r>
    </w:p>
    <w:p>
      <w:pPr>
        <w:pStyle w:val="15"/>
        <w:jc w:val="center"/>
        <w:rPr>
          <w:rFonts w:hint="default" w:asciiTheme="minorEastAsia" w:hAnsiTheme="minorEastAsia" w:eastAsiaTheme="minorEastAsia"/>
          <w:sz w:val="21"/>
        </w:rPr>
      </w:pPr>
      <w:r>
        <w:rPr>
          <w:rFonts w:hint="eastAsia" w:asciiTheme="minorEastAsia" w:hAnsiTheme="minorEastAsia" w:eastAsiaTheme="minorEastAsia"/>
          <w:sz w:val="21"/>
        </w:rPr>
        <w:t>記</w:t>
      </w:r>
    </w:p>
    <w:p>
      <w:pPr>
        <w:pStyle w:val="15"/>
        <w:rPr>
          <w:rFonts w:hint="default" w:asciiTheme="minorEastAsia" w:hAnsiTheme="minorEastAsia" w:eastAsiaTheme="minorEastAsia"/>
          <w:sz w:val="21"/>
        </w:rPr>
      </w:pPr>
    </w:p>
    <w:p>
      <w:pPr>
        <w:pStyle w:val="15"/>
        <w:rPr>
          <w:rFonts w:hint="default" w:asciiTheme="minorEastAsia" w:hAnsiTheme="minorEastAsia" w:eastAsiaTheme="minorEastAsia"/>
          <w:sz w:val="21"/>
        </w:rPr>
      </w:pPr>
      <w:r>
        <w:rPr>
          <w:rFonts w:hint="eastAsia" w:asciiTheme="minorEastAsia" w:hAnsiTheme="minorEastAsia" w:eastAsiaTheme="minorEastAsia"/>
          <w:sz w:val="21"/>
        </w:rPr>
        <w:t>１　業務名</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下関市立神玉公民館衛生設備保全業務</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２　内　容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　別紙１仕様書のとおり</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３　契約期間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契約締結日から令和９年３月３１日まで</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４　入札条件</w:t>
      </w:r>
      <w:r>
        <w:rPr>
          <w:rFonts w:hint="default" w:asciiTheme="minorEastAsia" w:hAnsiTheme="minorEastAsia" w:eastAsiaTheme="minorEastAsia"/>
          <w:sz w:val="21"/>
        </w:rPr>
        <w:t xml:space="preserve"> </w:t>
      </w:r>
    </w:p>
    <w:p>
      <w:pPr>
        <w:pStyle w:val="0"/>
        <w:ind w:left="472" w:leftChars="100" w:hanging="236" w:hangingChars="100"/>
        <w:rPr>
          <w:rFonts w:hint="default" w:asciiTheme="minorEastAsia" w:hAnsiTheme="minorEastAsia" w:eastAsiaTheme="minorEastAsia"/>
        </w:rPr>
      </w:pPr>
      <w:r>
        <w:rPr>
          <w:rFonts w:hint="eastAsia" w:asciiTheme="minorEastAsia" w:hAnsiTheme="minorEastAsia" w:eastAsiaTheme="minorEastAsia"/>
        </w:rPr>
        <w:t>（１）地方自治法施行令第１６７条の４の規定に該当しない者であること。</w:t>
      </w:r>
    </w:p>
    <w:p>
      <w:pPr>
        <w:pStyle w:val="0"/>
        <w:ind w:left="945" w:leftChars="100" w:hanging="709" w:hangingChars="300"/>
        <w:rPr>
          <w:rFonts w:hint="default" w:asciiTheme="minorEastAsia" w:hAnsiTheme="minorEastAsia" w:eastAsiaTheme="minorEastAsia"/>
        </w:rPr>
      </w:pPr>
      <w:r>
        <w:rPr>
          <w:rFonts w:hint="eastAsia" w:asciiTheme="minorEastAsia" w:hAnsiTheme="minorEastAsia" w:eastAsiaTheme="minorEastAsia"/>
        </w:rPr>
        <w:t>（２）下関市物品・役務競争入札参加有資格者名簿の「建物等保守管理」又は下関市建設工事等競争入札参加有資格者名簿の「管工事」若しくは「水道施設」に登録されていること。</w:t>
      </w:r>
    </w:p>
    <w:p>
      <w:pPr>
        <w:pStyle w:val="0"/>
        <w:ind w:left="482" w:leftChars="104" w:hanging="236" w:hangingChars="100"/>
        <w:rPr>
          <w:rFonts w:hint="default" w:asciiTheme="minorEastAsia" w:hAnsiTheme="minorEastAsia" w:eastAsiaTheme="minorEastAsia"/>
        </w:rPr>
      </w:pPr>
      <w:r>
        <w:rPr>
          <w:rFonts w:hint="eastAsia" w:asciiTheme="minorEastAsia" w:hAnsiTheme="minorEastAsia" w:eastAsiaTheme="minorEastAsia"/>
        </w:rPr>
        <w:t>（３）「浄化槽工事業者届出済票」を保有していること。</w:t>
      </w:r>
    </w:p>
    <w:p>
      <w:pPr>
        <w:pStyle w:val="0"/>
        <w:ind w:left="945" w:leftChars="100" w:hanging="709" w:hangingChars="300"/>
        <w:rPr>
          <w:rFonts w:hint="default" w:asciiTheme="minorEastAsia" w:hAnsiTheme="minorEastAsia" w:eastAsiaTheme="minorEastAsia"/>
        </w:rPr>
      </w:pPr>
      <w:r>
        <w:rPr>
          <w:rFonts w:hint="eastAsia" w:asciiTheme="minorEastAsia" w:hAnsiTheme="minorEastAsia" w:eastAsiaTheme="minorEastAsia"/>
        </w:rPr>
        <w:t>（４）この公告の日から本業務の入札までの間、下関市競争入札参加有資格者指名停止等措置要綱に基づく指名停止の措置を受けていないこと。</w:t>
      </w:r>
    </w:p>
    <w:p>
      <w:pPr>
        <w:pStyle w:val="0"/>
        <w:ind w:left="945" w:leftChars="100" w:hanging="709" w:hangingChars="300"/>
        <w:rPr>
          <w:rFonts w:hint="default" w:ascii="ＭＳ 明朝" w:hAnsi="ＭＳ 明朝"/>
        </w:rPr>
      </w:pPr>
      <w:r>
        <w:rPr>
          <w:rFonts w:hint="eastAsia" w:ascii="ＭＳ 明朝" w:hAnsi="ＭＳ 明朝"/>
        </w:rPr>
        <w:t>（５）下関市内に本社、本店、支店、営業所等を有すること。</w:t>
      </w:r>
    </w:p>
    <w:p>
      <w:pPr>
        <w:pStyle w:val="0"/>
        <w:ind w:left="945" w:leftChars="100" w:hanging="709" w:hangingChars="300"/>
        <w:rPr>
          <w:rFonts w:hint="default" w:ascii="ＭＳ 明朝" w:hAnsi="ＭＳ 明朝"/>
        </w:rPr>
      </w:pPr>
      <w:r>
        <w:rPr>
          <w:rFonts w:hint="eastAsia" w:ascii="ＭＳ 明朝" w:hAnsi="ＭＳ 明朝"/>
        </w:rPr>
        <w:t>（６）国又は地方公共団体その他公共団体と種類及び規模をほぼ同じくする契約を複数回にわたって契約し、これらを誠実に履行していること。</w:t>
      </w:r>
    </w:p>
    <w:p>
      <w:pPr>
        <w:pStyle w:val="0"/>
        <w:ind w:left="945" w:leftChars="100" w:hanging="709" w:hangingChars="300"/>
        <w:rPr>
          <w:rFonts w:hint="default" w:asciiTheme="minorEastAsia" w:hAnsiTheme="minorEastAsia" w:eastAsiaTheme="minorEastAsia"/>
          <w:sz w:val="21"/>
        </w:rPr>
      </w:pPr>
      <w:r>
        <w:rPr>
          <w:rFonts w:hint="eastAsia" w:ascii="ＭＳ 明朝" w:hAnsi="ＭＳ 明朝"/>
        </w:rPr>
        <w:t>（７）次項に示す入札参加資格確認申請手続きにおいて、滞りなく手続きが完了し、入札参加資格を認められていること。</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５　申請方法</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入札参加資格確認申請書（様式第１号）及び必要事項を下関市教育委員会教育部豊北教育支所（〒７５９－５５９２下関市豊北町大字滝部３１４０番地１豊北総合支所２階）に提出のこと。</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郵送の場合は、書留郵便物に限り受け付けるが、次項に示す申請書提出期限内に必着のこと。</w:t>
      </w:r>
    </w:p>
    <w:p>
      <w:pPr>
        <w:pStyle w:val="15"/>
        <w:spacing w:before="240" w:beforeLines="0" w:beforeAutospacing="0"/>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６　申請書提出期限</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令和８年７月２３日（木）午後４時３０分までとする。</w:t>
      </w:r>
    </w:p>
    <w:p>
      <w:pPr>
        <w:pStyle w:val="15"/>
        <w:spacing w:before="240" w:beforeLines="0" w:beforeAutospacing="0"/>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７　入札参加資格の決定</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入札参加資格の審査結果は、入札参加資格確認通知書（様式第２号）で通知する。承認の通知を受けた者は、入札参加資格があるものとする。</w:t>
      </w:r>
    </w:p>
    <w:p>
      <w:pPr>
        <w:pStyle w:val="15"/>
        <w:spacing w:before="240" w:beforeLines="0" w:beforeAutospacing="0"/>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８　入札に関する質問</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（１）この入札に関する質問は、電子メール又はファクシミリによること。</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メールアドレス：</w:t>
      </w:r>
      <w:r>
        <w:rPr>
          <w:rFonts w:hint="eastAsia"/>
        </w:rPr>
        <w:fldChar w:fldCharType="begin"/>
      </w:r>
      <w:r>
        <w:rPr>
          <w:rFonts w:hint="eastAsia"/>
        </w:rPr>
        <w:instrText xml:space="preserve"> HYPERLINK "mailto:hhchiiki@city.shimonoseki.yamaguchi.jp"</w:instrText>
      </w:r>
      <w:r>
        <w:rPr>
          <w:rFonts w:hint="eastAsia"/>
        </w:rPr>
        <w:fldChar w:fldCharType="separate"/>
      </w:r>
      <w:r>
        <w:rPr>
          <w:rStyle w:val="26"/>
          <w:rFonts w:hint="eastAsia" w:asciiTheme="minorEastAsia" w:hAnsiTheme="minorEastAsia" w:eastAsiaTheme="minorEastAsia"/>
          <w:sz w:val="21"/>
        </w:rPr>
        <w:t>h</w:t>
      </w:r>
      <w:r>
        <w:rPr>
          <w:rStyle w:val="26"/>
          <w:rFonts w:hint="default" w:asciiTheme="minorEastAsia" w:hAnsiTheme="minorEastAsia" w:eastAsiaTheme="minorEastAsia"/>
          <w:sz w:val="21"/>
        </w:rPr>
        <w:t>hchiiki@city.shimonoseki.yamaguchi.jp</w:t>
      </w:r>
      <w:r>
        <w:rPr>
          <w:rFonts w:hint="eastAsia"/>
        </w:rPr>
        <w:fldChar w:fldCharType="end"/>
      </w:r>
    </w:p>
    <w:p>
      <w:pPr>
        <w:pStyle w:val="15"/>
        <w:ind w:left="472" w:hanging="472" w:hangingChars="200"/>
        <w:rPr>
          <w:rFonts w:hint="default" w:asciiTheme="minorEastAsia" w:hAnsiTheme="minorEastAsia" w:eastAsiaTheme="minorEastAsia"/>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ファクシミリ番号：０８３－７８２－０９９５</w:t>
      </w:r>
    </w:p>
    <w:p>
      <w:pPr>
        <w:pStyle w:val="15"/>
        <w:ind w:left="472" w:hanging="472" w:hangingChars="200"/>
        <w:rPr>
          <w:rFonts w:hint="default" w:asciiTheme="minorEastAsia" w:hAnsiTheme="minorEastAsia" w:eastAsiaTheme="minorEastAsia"/>
          <w:sz w:val="21"/>
        </w:rPr>
      </w:pPr>
      <w:r>
        <w:rPr>
          <w:rFonts w:hint="eastAsia" w:asciiTheme="minorEastAsia" w:hAnsiTheme="minorEastAsia" w:eastAsiaTheme="minorEastAsia"/>
          <w:sz w:val="21"/>
        </w:rPr>
        <w:t>　（２）質問期限は、令和８年７月２１日（火）午後５時００分とする。</w:t>
      </w:r>
    </w:p>
    <w:p>
      <w:pPr>
        <w:pStyle w:val="15"/>
        <w:ind w:leftChars="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　（３）質問の回答は、電子メール又はファクシミリを使用し、質問提出者のみに回答する。</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９　現場確認</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入札参加申請に関わらず、入札前に現場確認を行いたい者は、事前に電話予約することで現地確認を行うことができる。</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連絡先　下関市教育委員会教育部豊北教育支所</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（電話）　０８３－７８２－１９６３　（担当）高野</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現場確認日時　令和８年７月１５日（水</w:t>
      </w:r>
      <w:bookmarkStart w:id="0" w:name="_GoBack"/>
      <w:bookmarkEnd w:id="0"/>
      <w:r>
        <w:rPr>
          <w:rFonts w:hint="eastAsia" w:asciiTheme="minorEastAsia" w:hAnsiTheme="minorEastAsia" w:eastAsiaTheme="minorEastAsia"/>
          <w:sz w:val="21"/>
        </w:rPr>
        <w:t>）から７月２２日（水）まで</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午前１０時００分から午後４時３０分まで</w:t>
      </w:r>
    </w:p>
    <w:p>
      <w:pPr>
        <w:pStyle w:val="15"/>
        <w:spacing w:before="240" w:beforeLines="0" w:beforeAutospacing="0"/>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10</w:t>
      </w:r>
      <w:r>
        <w:rPr>
          <w:rFonts w:hint="eastAsia" w:asciiTheme="minorEastAsia" w:hAnsiTheme="minorEastAsia" w:eastAsiaTheme="minorEastAsia"/>
          <w:sz w:val="21"/>
        </w:rPr>
        <w:t>　入札（開札）日時等</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入札（開札）日時　令和８年７月３１日（金）午前９時００分</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入札（開札）場所　下関市役所豊北総合支所　２階会議室</w:t>
      </w:r>
    </w:p>
    <w:p>
      <w:pPr>
        <w:pStyle w:val="15"/>
        <w:spacing w:before="240" w:beforeLines="0" w:beforeAutospacing="0"/>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11</w:t>
      </w:r>
      <w:r>
        <w:rPr>
          <w:rFonts w:hint="eastAsia" w:asciiTheme="minorEastAsia" w:hAnsiTheme="minorEastAsia" w:eastAsiaTheme="minorEastAsia"/>
          <w:sz w:val="21"/>
        </w:rPr>
        <w:t>　入札方法</w:t>
      </w:r>
    </w:p>
    <w:p>
      <w:pPr>
        <w:pStyle w:val="15"/>
        <w:ind w:left="236"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（１）入札は、入札書（様式第３号）を使用すること</w:t>
      </w:r>
    </w:p>
    <w:p>
      <w:pPr>
        <w:pStyle w:val="15"/>
        <w:ind w:left="0" w:leftChars="0" w:hanging="945" w:hangingChars="400"/>
        <w:rPr>
          <w:rFonts w:hint="default" w:asciiTheme="minorEastAsia" w:hAnsiTheme="minorEastAsia" w:eastAsiaTheme="minorEastAsia"/>
          <w:sz w:val="21"/>
        </w:rPr>
      </w:pPr>
      <w:r>
        <w:rPr>
          <w:rFonts w:hint="eastAsia" w:asciiTheme="minorEastAsia" w:hAnsiTheme="minorEastAsia" w:eastAsiaTheme="minorEastAsia"/>
          <w:sz w:val="21"/>
        </w:rPr>
        <w:t>　（２）代理人による入札者については、委任状（様式第４号）を入札前に提出すること。</w:t>
      </w:r>
    </w:p>
    <w:p>
      <w:pPr>
        <w:pStyle w:val="15"/>
        <w:ind w:left="945" w:leftChars="10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（３）入札書に記載する金額は、消費税相当額を含まない金額を記載すること。</w:t>
      </w:r>
    </w:p>
    <w:p>
      <w:pPr>
        <w:pStyle w:val="15"/>
        <w:spacing w:before="240" w:beforeLines="0" w:beforeAutospacing="0"/>
        <w:ind w:left="709" w:hanging="709" w:hangingChars="300"/>
        <w:jc w:val="both"/>
        <w:rPr>
          <w:rFonts w:hint="default" w:asciiTheme="minorEastAsia" w:hAnsiTheme="minorEastAsia" w:eastAsiaTheme="minorEastAsia"/>
          <w:sz w:val="21"/>
        </w:rPr>
      </w:pPr>
      <w:r>
        <w:rPr>
          <w:rFonts w:hint="default" w:asciiTheme="minorEastAsia" w:hAnsiTheme="minorEastAsia" w:eastAsiaTheme="minorEastAsia"/>
          <w:sz w:val="21"/>
        </w:rPr>
        <w:t>1</w:t>
      </w:r>
      <w:r>
        <w:rPr>
          <w:rFonts w:hint="eastAsia" w:asciiTheme="minorEastAsia" w:hAnsiTheme="minorEastAsia" w:eastAsiaTheme="minorEastAsia"/>
          <w:sz w:val="21"/>
        </w:rPr>
        <w:t>2</w:t>
      </w:r>
      <w:r>
        <w:rPr>
          <w:rFonts w:hint="eastAsia" w:asciiTheme="minorEastAsia" w:hAnsiTheme="minorEastAsia" w:eastAsiaTheme="minorEastAsia"/>
          <w:sz w:val="21"/>
        </w:rPr>
        <w:t>　入札保証金</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下関市契約規則による。</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ただし、納付が必要である者については、後日通知する。</w:t>
      </w:r>
    </w:p>
    <w:p>
      <w:pPr>
        <w:pStyle w:val="15"/>
        <w:spacing w:before="240" w:beforeLines="0" w:beforeAutospacing="0"/>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13</w:t>
      </w:r>
      <w:r>
        <w:rPr>
          <w:rFonts w:hint="eastAsia" w:asciiTheme="minorEastAsia" w:hAnsiTheme="minorEastAsia" w:eastAsiaTheme="minorEastAsia"/>
          <w:sz w:val="21"/>
        </w:rPr>
        <w:t>　落札者の決定</w:t>
      </w:r>
    </w:p>
    <w:p>
      <w:pPr>
        <w:pStyle w:val="15"/>
        <w:ind w:left="0" w:leftChars="0" w:hanging="945" w:hangingChars="400"/>
        <w:jc w:val="both"/>
        <w:rPr>
          <w:rFonts w:hint="default" w:asciiTheme="minorEastAsia" w:hAnsiTheme="minorEastAsia" w:eastAsiaTheme="minorEastAsia"/>
          <w:sz w:val="21"/>
        </w:rPr>
      </w:pPr>
      <w:r>
        <w:rPr>
          <w:rFonts w:hint="eastAsia" w:asciiTheme="minorEastAsia" w:hAnsiTheme="minorEastAsia" w:eastAsiaTheme="minorEastAsia"/>
          <w:sz w:val="21"/>
        </w:rPr>
        <w:t>　（１）落札者は、予定価格の制限の範囲内で最低の価格をもって有効な入札を行った者を落札者とする。</w:t>
      </w:r>
    </w:p>
    <w:p>
      <w:pPr>
        <w:pStyle w:val="15"/>
        <w:spacing w:before="240" w:beforeLines="0" w:beforeAutospacing="0"/>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14</w:t>
      </w:r>
      <w:r>
        <w:rPr>
          <w:rFonts w:hint="eastAsia" w:asciiTheme="minorEastAsia" w:hAnsiTheme="minorEastAsia" w:eastAsiaTheme="minorEastAsia"/>
          <w:sz w:val="21"/>
        </w:rPr>
        <w:t>　入札の無効</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（１）入札に参加する資格を有しない者の行った入札</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（２）委任状を提出しない代理人の行った入札</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（３）入札者の記名押印又は住所の記載のない入札書による入札</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（４）入札金額を訂正した入札書による入札</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（５）明瞭でない入札書又は入札金額の判読できない入札書による入札</w:t>
      </w:r>
    </w:p>
    <w:p>
      <w:pPr>
        <w:pStyle w:val="15"/>
        <w:ind w:left="0" w:leftChars="0" w:hanging="945" w:hangingChars="400"/>
        <w:jc w:val="both"/>
        <w:rPr>
          <w:rFonts w:hint="default" w:asciiTheme="minorEastAsia" w:hAnsiTheme="minorEastAsia" w:eastAsiaTheme="minorEastAsia"/>
          <w:sz w:val="21"/>
        </w:rPr>
      </w:pPr>
      <w:r>
        <w:rPr>
          <w:rFonts w:hint="eastAsia" w:asciiTheme="minorEastAsia" w:hAnsiTheme="minorEastAsia" w:eastAsiaTheme="minorEastAsia"/>
          <w:sz w:val="21"/>
        </w:rPr>
        <w:t>　（６）代理人でその資格のない者の行った入札又は１人で２人以上の代理として行った入札</w:t>
      </w:r>
    </w:p>
    <w:p>
      <w:pPr>
        <w:pStyle w:val="15"/>
        <w:ind w:left="0" w:leftChars="0" w:hanging="945" w:hangingChars="400"/>
        <w:jc w:val="both"/>
        <w:rPr>
          <w:rFonts w:hint="default" w:asciiTheme="minorEastAsia" w:hAnsiTheme="minorEastAsia" w:eastAsiaTheme="minorEastAsia"/>
          <w:sz w:val="21"/>
        </w:rPr>
      </w:pPr>
      <w:r>
        <w:rPr>
          <w:rFonts w:hint="eastAsia" w:asciiTheme="minorEastAsia" w:hAnsiTheme="minorEastAsia" w:eastAsiaTheme="minorEastAsia"/>
          <w:sz w:val="21"/>
        </w:rPr>
        <w:t>　（７）入札参加者が入札日（開札日）までに入札条件を満たさなくなったときは、その者のした入札</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（８）入札保証金の納付がないもの又は入札保証金が不足するもの</w:t>
      </w:r>
    </w:p>
    <w:p>
      <w:pPr>
        <w:pStyle w:val="15"/>
        <w:ind w:left="709" w:hanging="709" w:hangingChars="300"/>
        <w:jc w:val="both"/>
        <w:rPr>
          <w:rFonts w:hint="default" w:asciiTheme="minorEastAsia" w:hAnsiTheme="minorEastAsia" w:eastAsiaTheme="minorEastAsia"/>
          <w:sz w:val="21"/>
        </w:rPr>
      </w:pPr>
      <w:r>
        <w:rPr>
          <w:rFonts w:hint="eastAsia" w:asciiTheme="minorEastAsia" w:hAnsiTheme="minorEastAsia" w:eastAsiaTheme="minorEastAsia"/>
          <w:sz w:val="21"/>
        </w:rPr>
        <w:t>　（９）その他入札に関する公告等に掲げる条件に違反した入札</w:t>
      </w:r>
    </w:p>
    <w:p>
      <w:pPr>
        <w:pStyle w:val="15"/>
        <w:spacing w:before="240" w:beforeLines="0" w:beforeAutospacing="0"/>
        <w:rPr>
          <w:rFonts w:hint="default" w:asciiTheme="minorEastAsia" w:hAnsiTheme="minorEastAsia" w:eastAsiaTheme="minorEastAsia"/>
          <w:sz w:val="21"/>
        </w:rPr>
      </w:pPr>
      <w:r>
        <w:rPr>
          <w:rFonts w:hint="eastAsia" w:asciiTheme="minorEastAsia" w:hAnsiTheme="minorEastAsia" w:eastAsiaTheme="minorEastAsia"/>
          <w:sz w:val="21"/>
        </w:rPr>
        <w:t>15</w:t>
      </w:r>
      <w:r>
        <w:rPr>
          <w:rFonts w:hint="eastAsia" w:asciiTheme="minorEastAsia" w:hAnsiTheme="minorEastAsia" w:eastAsiaTheme="minorEastAsia"/>
          <w:sz w:val="21"/>
        </w:rPr>
        <w:t>　その他</w:t>
      </w:r>
      <w:r>
        <w:rPr>
          <w:rFonts w:hint="default" w:asciiTheme="minorEastAsia" w:hAnsiTheme="minorEastAsia" w:eastAsiaTheme="minorEastAsia"/>
          <w:sz w:val="21"/>
        </w:rPr>
        <w:t xml:space="preserve"> </w:t>
      </w:r>
    </w:p>
    <w:p>
      <w:pPr>
        <w:pStyle w:val="15"/>
        <w:ind w:left="945" w:leftChars="10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（１）入札において、事故が起きたときや不正な行為があると認めたときは、入札を中止し、又は延期する場合がある。</w:t>
      </w:r>
    </w:p>
    <w:p>
      <w:pPr>
        <w:pStyle w:val="15"/>
        <w:ind w:left="945" w:leftChars="10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（２）落札者が、契約までに入札条件を満たさなくなったとき、又は指名停止措置を受けたときは落札決定を取り消し、契約を行わないものとする。</w:t>
      </w:r>
    </w:p>
    <w:p>
      <w:pPr>
        <w:pStyle w:val="15"/>
        <w:ind w:left="472" w:leftChars="100"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（３）入札参加資格確認申請に係る費用は、全て申請者の負担とする。</w:t>
      </w:r>
    </w:p>
    <w:p>
      <w:pPr>
        <w:pStyle w:val="15"/>
        <w:ind w:left="472" w:leftChars="100" w:hanging="236" w:hangingChars="1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なお、入札参加資格の有無に関わらず、申請書類等は返却しない。</w:t>
      </w:r>
      <w:r>
        <w:rPr>
          <w:rFonts w:hint="default" w:asciiTheme="minorEastAsia" w:hAnsiTheme="minorEastAsia" w:eastAsiaTheme="minorEastAsia"/>
          <w:sz w:val="21"/>
        </w:rPr>
        <w:t xml:space="preserve"> </w:t>
      </w:r>
    </w:p>
    <w:p>
      <w:pPr>
        <w:pStyle w:val="15"/>
        <w:ind w:left="945" w:leftChars="10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（４）この入札において得た入札参加資格は、この公告に定められた入札期日をもってその効力を失う。</w:t>
      </w:r>
    </w:p>
    <w:p>
      <w:pPr>
        <w:pStyle w:val="15"/>
        <w:ind w:left="945" w:leftChars="100" w:hanging="709" w:hangingChars="300"/>
        <w:rPr>
          <w:rFonts w:hint="default" w:asciiTheme="minorEastAsia" w:hAnsiTheme="minorEastAsia" w:eastAsiaTheme="minorEastAsia"/>
          <w:sz w:val="21"/>
        </w:rPr>
      </w:pPr>
      <w:r>
        <w:rPr>
          <w:rFonts w:hint="eastAsia" w:asciiTheme="minorEastAsia" w:hAnsiTheme="minorEastAsia" w:eastAsiaTheme="minorEastAsia"/>
          <w:sz w:val="21"/>
        </w:rPr>
        <w:t>（５）入札書等の契約に関する書類の作成にあたっては、消せるボールペンを使用しないこと。</w:t>
      </w:r>
    </w:p>
    <w:p>
      <w:pPr>
        <w:pStyle w:val="0"/>
        <w:spacing w:before="240" w:beforeLines="0" w:beforeAutospacing="0"/>
        <w:rPr>
          <w:rFonts w:hint="default" w:asciiTheme="minorEastAsia" w:hAnsiTheme="minorEastAsia" w:eastAsiaTheme="minorEastAsia"/>
        </w:rPr>
      </w:pPr>
      <w:r>
        <w:rPr>
          <w:rFonts w:hint="eastAsia" w:asciiTheme="minorEastAsia" w:hAnsiTheme="minorEastAsia" w:eastAsiaTheme="minorEastAsia"/>
        </w:rPr>
        <w:t>16</w:t>
      </w:r>
      <w:r>
        <w:rPr>
          <w:rFonts w:hint="eastAsia" w:asciiTheme="minorEastAsia" w:hAnsiTheme="minorEastAsia" w:eastAsiaTheme="minorEastAsia"/>
        </w:rPr>
        <w:t>　連絡先・提出先</w:t>
      </w:r>
    </w:p>
    <w:p>
      <w:pPr>
        <w:pStyle w:val="0"/>
        <w:rPr>
          <w:rFonts w:hint="default" w:asciiTheme="minorEastAsia" w:hAnsiTheme="minorEastAsia" w:eastAsiaTheme="minorEastAsia"/>
        </w:rPr>
      </w:pPr>
      <w:r>
        <w:rPr>
          <w:rFonts w:hint="eastAsia" w:asciiTheme="minorEastAsia" w:hAnsiTheme="minorEastAsia" w:eastAsiaTheme="minorEastAsia"/>
        </w:rPr>
        <w:t>　　〒７５９－５５９２</w:t>
      </w:r>
    </w:p>
    <w:p>
      <w:pPr>
        <w:pStyle w:val="0"/>
        <w:rPr>
          <w:rFonts w:hint="default" w:asciiTheme="minorEastAsia" w:hAnsiTheme="minorEastAsia" w:eastAsiaTheme="minorEastAsia"/>
        </w:rPr>
      </w:pPr>
      <w:r>
        <w:rPr>
          <w:rFonts w:hint="eastAsia" w:asciiTheme="minorEastAsia" w:hAnsiTheme="minorEastAsia" w:eastAsiaTheme="minorEastAsia"/>
        </w:rPr>
        <w:t>　　下関市豊北町大字滝部３１４０番地１</w:t>
      </w:r>
    </w:p>
    <w:p>
      <w:pPr>
        <w:pStyle w:val="0"/>
        <w:rPr>
          <w:rFonts w:hint="default" w:asciiTheme="minorEastAsia" w:hAnsiTheme="minorEastAsia" w:eastAsiaTheme="minorEastAsia"/>
        </w:rPr>
      </w:pPr>
      <w:r>
        <w:rPr>
          <w:rFonts w:hint="eastAsia" w:asciiTheme="minorEastAsia" w:hAnsiTheme="minorEastAsia" w:eastAsiaTheme="minorEastAsia"/>
        </w:rPr>
        <w:t>　　下関市教育委員会教育部豊北教育支所　担当　高野</w:t>
      </w:r>
    </w:p>
    <w:p>
      <w:pPr>
        <w:pStyle w:val="0"/>
        <w:rPr>
          <w:rFonts w:hint="default" w:asciiTheme="minorEastAsia" w:hAnsiTheme="minorEastAsia" w:eastAsiaTheme="minorEastAsia"/>
        </w:rPr>
      </w:pPr>
      <w:r>
        <w:rPr>
          <w:rFonts w:hint="eastAsia" w:asciiTheme="minorEastAsia" w:hAnsiTheme="minorEastAsia" w:eastAsiaTheme="minorEastAsia"/>
        </w:rPr>
        <w:t>　　　電話　０８３－７８２－１９６３</w:t>
      </w:r>
    </w:p>
    <w:p>
      <w:pPr>
        <w:pStyle w:val="0"/>
        <w:rPr>
          <w:rFonts w:hint="default" w:asciiTheme="minorEastAsia" w:hAnsiTheme="minorEastAsia" w:eastAsiaTheme="minorEastAsia"/>
        </w:rPr>
      </w:pPr>
      <w:r>
        <w:rPr>
          <w:rFonts w:hint="eastAsia" w:asciiTheme="minorEastAsia" w:hAnsiTheme="minorEastAsia" w:eastAsiaTheme="minorEastAsia"/>
        </w:rPr>
        <w:t>　　　ＦＡＸ０８３－７８２－０９９５</w:t>
      </w:r>
    </w:p>
    <w:p>
      <w:pPr>
        <w:pStyle w:val="0"/>
        <w:rPr>
          <w:rFonts w:hint="default" w:asciiTheme="minorEastAsia" w:hAnsiTheme="minorEastAsia" w:eastAsiaTheme="minorEastAsia"/>
        </w:rPr>
      </w:pPr>
      <w:r>
        <w:rPr>
          <w:rFonts w:hint="eastAsia" w:asciiTheme="minorEastAsia" w:hAnsiTheme="minorEastAsia" w:eastAsiaTheme="minorEastAsia"/>
        </w:rPr>
        <w:t>　　　　　　　　　　　　　　　　　　　　　　　　　　　　　　　　　　以上</w:t>
      </w:r>
    </w:p>
    <w:sectPr>
      <w:pgSz w:w="11906" w:h="16838"/>
      <w:pgMar w:top="1418" w:right="1701" w:bottom="1418" w:left="1701" w:header="851" w:footer="992" w:gutter="0"/>
      <w:cols w:space="720"/>
      <w:textDirection w:val="lrTb"/>
      <w:docGrid w:type="linesAndChars" w:linePitch="466" w:charSpace="5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8"/>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te Heading"/>
    <w:basedOn w:val="0"/>
    <w:next w:val="0"/>
    <w:link w:val="17"/>
    <w:uiPriority w:val="0"/>
    <w:pPr>
      <w:jc w:val="center"/>
    </w:pPr>
    <w:rPr>
      <w:rFonts w:ascii="ＭＳ 明朝" w:hAnsi="ＭＳ 明朝"/>
      <w:color w:val="000000"/>
      <w:kern w:val="0"/>
      <w:sz w:val="24"/>
    </w:rPr>
  </w:style>
  <w:style w:type="character" w:styleId="17" w:customStyle="1">
    <w:name w:val="記 (文字)"/>
    <w:basedOn w:val="10"/>
    <w:next w:val="17"/>
    <w:link w:val="16"/>
    <w:uiPriority w:val="0"/>
    <w:rPr>
      <w:rFonts w:ascii="ＭＳ 明朝" w:hAnsi="ＭＳ 明朝" w:eastAsia="ＭＳ 明朝"/>
      <w:color w:val="000000"/>
      <w:kern w:val="0"/>
      <w:sz w:val="24"/>
    </w:rPr>
  </w:style>
  <w:style w:type="paragraph" w:styleId="18">
    <w:name w:val="Closing"/>
    <w:basedOn w:val="0"/>
    <w:next w:val="18"/>
    <w:link w:val="19"/>
    <w:uiPriority w:val="0"/>
    <w:pPr>
      <w:jc w:val="right"/>
    </w:pPr>
    <w:rPr>
      <w:rFonts w:ascii="ＭＳ 明朝" w:hAnsi="ＭＳ 明朝"/>
      <w:color w:val="000000"/>
      <w:kern w:val="0"/>
      <w:sz w:val="24"/>
    </w:rPr>
  </w:style>
  <w:style w:type="character" w:styleId="19" w:customStyle="1">
    <w:name w:val="結語 (文字)"/>
    <w:basedOn w:val="10"/>
    <w:next w:val="19"/>
    <w:link w:val="18"/>
    <w:uiPriority w:val="0"/>
    <w:rPr>
      <w:rFonts w:ascii="ＭＳ 明朝" w:hAnsi="ＭＳ 明朝" w:eastAsia="ＭＳ 明朝"/>
      <w:color w:val="000000"/>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Century" w:hAnsi="Century"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Hyperlink"/>
    <w:basedOn w:val="10"/>
    <w:next w:val="26"/>
    <w:link w:val="0"/>
    <w:uiPriority w:val="0"/>
    <w:rPr>
      <w:color w:val="0000FF" w:themeColor="hyperlink"/>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4</Pages>
  <Words>12</Words>
  <Characters>1982</Characters>
  <Application>JUST Note</Application>
  <Lines>96</Lines>
  <Paragraphs>72</Paragraphs>
  <CharactersWithSpaces>2149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高野　修一</cp:lastModifiedBy>
  <cp:lastPrinted>2025-10-20T02:05:42Z</cp:lastPrinted>
  <dcterms:created xsi:type="dcterms:W3CDTF">2018-03-15T12:30:00Z</dcterms:created>
  <dcterms:modified xsi:type="dcterms:W3CDTF">2026-07-09T08:26:25Z</dcterms:modified>
  <cp:revision>117</cp:revision>
</cp:coreProperties>
</file>