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４月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rPr>
          <w:rFonts w:hint="default"/>
          <w:sz w:val="24"/>
        </w:rPr>
      </w:pPr>
      <w:r>
        <w:rPr>
          <w:rFonts w:hint="eastAsia"/>
          <w:sz w:val="24"/>
        </w:rPr>
        <w:t>１．業務名　　下関市営渡船「蓋井</w:t>
      </w:r>
      <w:bookmarkStart w:id="0" w:name="_GoBack"/>
      <w:bookmarkEnd w:id="0"/>
      <w:r>
        <w:rPr>
          <w:rFonts w:hint="eastAsia"/>
          <w:sz w:val="24"/>
        </w:rPr>
        <w:t>丸」中間検査及び修繕</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入札条件</w:t>
      </w:r>
      <w:r>
        <w:rPr>
          <w:rFonts w:hint="eastAsia" w:asciiTheme="minorEastAsia" w:hAnsiTheme="minorEastAsia" w:eastAsiaTheme="minorEastAsia"/>
          <w:sz w:val="24"/>
        </w:rPr>
        <w:t>(4)</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官公庁が発注する同種同様の業務を受注した実績</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※契約書及び業務内容を示す仕様書等の写し</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※受注実績が複数ある場合は、直近の実績から複数提出すること。</w:t>
      </w:r>
    </w:p>
    <w:sectPr>
      <w:headerReference r:id="rId5" w:type="default"/>
      <w:pgSz w:w="11906" w:h="16838"/>
      <w:pgMar w:top="1418" w:right="1418" w:bottom="1418" w:left="1418" w:header="850"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301</Characters>
  <Application>JUST Note</Application>
  <Lines>29</Lines>
  <Paragraphs>17</Paragraphs>
  <Company>下関市</Company>
  <CharactersWithSpaces>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a230100</cp:lastModifiedBy>
  <cp:lastPrinted>2025-04-17T00:40:00Z</cp:lastPrinted>
  <dcterms:created xsi:type="dcterms:W3CDTF">2024-04-11T09:09:00Z</dcterms:created>
  <dcterms:modified xsi:type="dcterms:W3CDTF">2026-03-06T02:40:11Z</dcterms:modified>
  <cp:revision>5</cp:revision>
</cp:coreProperties>
</file>